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</w:pPr>
      <w:r>
        <w:rPr>
          <w:rFonts w:hint="eastAsia" w:ascii="仿宋_GB2312" w:hAnsi="Calibri" w:eastAsia="仿宋_GB2312" w:cs="宋体"/>
          <w:b/>
          <w:bCs/>
          <w:sz w:val="28"/>
          <w:szCs w:val="32"/>
          <w:highlight w:val="none"/>
          <w:lang w:val="en-US" w:eastAsia="zh-CN"/>
        </w:rPr>
        <w:t>附件</w:t>
      </w:r>
      <w:r>
        <w:rPr>
          <w:rFonts w:hint="eastAsia" w:ascii="仿宋_GB2312" w:eastAsia="仿宋_GB2312" w:cs="宋体"/>
          <w:b/>
          <w:bCs/>
          <w:sz w:val="28"/>
          <w:szCs w:val="32"/>
          <w:highlight w:val="none"/>
          <w:lang w:val="en-US" w:eastAsia="zh-CN"/>
        </w:rPr>
        <w:t>1</w:t>
      </w:r>
      <w:r>
        <w:rPr>
          <w:rFonts w:hint="default" w:ascii="仿宋_GB2312" w:eastAsia="仿宋_GB2312" w:cs="宋体"/>
          <w:b/>
          <w:bCs/>
          <w:sz w:val="28"/>
          <w:szCs w:val="32"/>
          <w:highlight w:val="none"/>
          <w:lang w:eastAsia="zh-CN"/>
        </w:rPr>
        <w:t xml:space="preserve"> </w:t>
      </w:r>
      <w:r>
        <w:rPr>
          <w:rFonts w:hint="default" w:ascii="仿宋_GB2312" w:eastAsia="仿宋_GB2312" w:cs="宋体"/>
          <w:b/>
          <w:bCs/>
          <w:sz w:val="28"/>
          <w:szCs w:val="32"/>
          <w:highlight w:val="none"/>
          <w:lang w:val="en-US" w:eastAsia="zh-CN"/>
        </w:rPr>
        <w:t>“青年商业领袖全球胜任力培养项目”</w:t>
      </w:r>
      <w:r>
        <w:rPr>
          <w:rFonts w:hint="eastAsia" w:ascii="仿宋_GB2312" w:eastAsia="仿宋_GB2312" w:cs="宋体"/>
          <w:b/>
          <w:bCs/>
          <w:sz w:val="28"/>
          <w:szCs w:val="32"/>
          <w:highlight w:val="none"/>
          <w:lang w:val="en-US" w:eastAsia="zh-Hans"/>
        </w:rPr>
        <w:t>行程安排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00" w:firstLineChars="200"/>
        <w:jc w:val="center"/>
        <w:textAlignment w:val="auto"/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</w:pP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表1：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  <w:t>“青年商业领袖全球胜任力培养项目”行程安排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00" w:firstLineChars="200"/>
        <w:jc w:val="center"/>
        <w:textAlignment w:val="auto"/>
        <w:rPr>
          <w:rFonts w:hint="default" w:ascii="宋体" w:hAnsi="宋体" w:cs="宋体"/>
          <w:b w:val="0"/>
          <w:bCs w:val="0"/>
          <w:sz w:val="20"/>
          <w:szCs w:val="21"/>
          <w:highlight w:val="none"/>
          <w:lang w:eastAsia="zh-CN"/>
        </w:rPr>
      </w:pP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Table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val="en-US" w:eastAsia="zh-CN"/>
        </w:rPr>
        <w:t>: Itinerary of the</w:t>
      </w:r>
      <w:r>
        <w:rPr>
          <w:rFonts w:hint="eastAsia" w:ascii="宋体" w:hAnsi="宋体" w:cs="宋体"/>
          <w:b w:val="0"/>
          <w:bCs w:val="0"/>
          <w:sz w:val="20"/>
          <w:szCs w:val="21"/>
          <w:highlight w:val="none"/>
          <w:lang w:val="en-US" w:eastAsia="zh-Hans"/>
        </w:rPr>
        <w:t>“Global Competency Development for Young Business Leaders</w:t>
      </w:r>
      <w:r>
        <w:rPr>
          <w:rFonts w:hint="default" w:ascii="宋体" w:hAnsi="宋体" w:cs="宋体"/>
          <w:b w:val="0"/>
          <w:bCs w:val="0"/>
          <w:sz w:val="20"/>
          <w:szCs w:val="21"/>
          <w:highlight w:val="none"/>
          <w:lang w:eastAsia="zh-CN"/>
        </w:rPr>
        <w:t>”</w:t>
      </w:r>
    </w:p>
    <w:tbl>
      <w:tblPr>
        <w:tblStyle w:val="3"/>
        <w:tblpPr w:leftFromText="180" w:rightFromText="180" w:vertAnchor="text" w:horzAnchor="page" w:tblpX="1802" w:tblpY="282"/>
        <w:tblOverlap w:val="never"/>
        <w:tblW w:w="506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0"/>
        <w:gridCol w:w="2938"/>
        <w:gridCol w:w="2588"/>
        <w:gridCol w:w="18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Cs w:val="21"/>
                <w:highlight w:val="none"/>
                <w:lang w:val="en-US" w:eastAsia="zh-CN"/>
              </w:rPr>
              <w:t>行程安排</w:t>
            </w:r>
            <w:r>
              <w:rPr>
                <w:rFonts w:ascii="PingFang SC Regular" w:hAnsi="PingFang SC Regular" w:eastAsia="PingFang SC Regular" w:cs="PingFang SC Regular"/>
                <w:b/>
                <w:bCs/>
                <w:szCs w:val="21"/>
                <w:highlight w:val="none"/>
                <w:lang w:eastAsia="zh-Hans"/>
              </w:rPr>
              <w:t>-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Cs w:val="21"/>
                <w:highlight w:val="none"/>
                <w:lang w:val="en-US" w:eastAsia="zh-CN"/>
              </w:rPr>
              <w:t>英国·伦敦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60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  <w:lang w:eastAsia="zh-Hans"/>
              </w:rPr>
              <w:t>行程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上午（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  <w:lang w:val="en-US" w:eastAsia="zh-CN"/>
              </w:rPr>
              <w:t>10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:00-1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:00）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下午（14:00-1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:00）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晚上（18:00-2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8"/>
                <w:szCs w:val="18"/>
                <w:highlight w:val="none"/>
              </w:rPr>
              <w:t>:00）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0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D1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飞行日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2024.7.14</w:t>
            </w:r>
          </w:p>
        </w:tc>
        <w:tc>
          <w:tcPr>
            <w:tcW w:w="43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国内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</w:rPr>
              <w:t>机场集合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至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伦敦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·抵达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伦敦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统一至伦敦政治经济学院入住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5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2024.7.15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实地调研｜伦敦政治经济学院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Hans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Hans"/>
              </w:rPr>
              <w:t>欢迎仪式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Hans"/>
              </w:rPr>
              <w:t>校园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调研参访，感受世界顶尖公立研究型大学的建筑环境、学术氛围、专业学科等魅力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核心课程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商业战略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学习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</w:rPr>
              <w:t>如何制定成功的商业战略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·强调国际化和跨文化视角，在全球背景下理解和应用商务战略。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·从商务战略理论、战略分析工具、行业分析与竞争态势、前沿资讯等方面进行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小组任务1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制定商业战略展示文稿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·通过深入研究和分析目标企业，提出切实可行的商业战略建议，并在展示中清晰地传达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·制定一份具有创新性和可操作性的商业战略方案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核心课程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数字营销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·深入了解数字营销的原理和技巧，掌握数字化工具和技术，以应对现代商业环境中的挑战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·培养具备数字化思维和创新能力的营销人才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小组任务2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设计数字营销活动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·深入地了解数字营销的实际操作和挑战，并提升我们的专业技能和实践经验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·通过创新的营销策略和技术手段，提升品牌知名度，吸引潜在客户，并促进增长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欢迎晚餐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3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2024.7.16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商务礼仪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-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>融洽关系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·掌握商务礼仪的基本知识，提高在商务场合中的自我修养和综合素质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·学会如何运用礼仪知识来增进与他人的融洽关系，为未来的职业发展奠定坚实的基础。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</w:rPr>
              <w:t>小组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辅导、互动问答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核心技能｜</w:t>
            </w:r>
            <w:r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跨文化沟通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了解沟通障碍并培养跨文化沟通能力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·深入了解不同文化、提高语言能力、保持开放心态、倾听与反馈、解决冲突以及实践锻炼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0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4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2024.7.17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商业报告的展示技巧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·系统学习商业报告的展示技巧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·明确商业报告展示时的目标与受众、结构清晰、使用图表和可视化工具、语言简洁明了、注重互动与反馈、使用专业演示软件、保持自信和冷静以及充分的练习与准备等。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·学习注重商业报告的展示效果，实现更好的沟通与交流。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</w:rPr>
              <w:t>小组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辅导、互动问答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核心技能｜</w:t>
            </w:r>
            <w:r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全球背景下的领导力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·系统学习什么是领导力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·领导力在个人发展阶段的重要性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·全球领导者需要具备哪些能力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·系统学习跨文化沟通、全球视野、战略思考、团队合作和危机管理等方面知识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</w:rPr>
              <w:t>小组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辅导、互动问答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5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5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2024.7.18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自信演讲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·系统学习如何成为一个自信的演讲者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·学习演讲技巧及知识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·掌握有效的演讲技巧，提升自信心和表达能力，为未来的学术、职业和公共生活奠定坚实的基础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核心技能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谈判技能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·跨越文化界限的说服与谈判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·掌握跨文化说服与谈判的核心技能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·提高在不同文化背景下的沟通能力和谈判水平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·学习在国际环境中如何更有效地开展工作，促进跨文化交流和合作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小组任务3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反思性论文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·学习和撰写反思性论文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·学会在撰写过程中自我评估与认知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·学会对学习过程和学术实践的深入反思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6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6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2024.7.19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展示与汇报1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制定商业战略展示文稿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color w:val="0000FF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·小组针对前期所完成的制定商业战略展示文稿任务进行展示和复盘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核心课程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财务模型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·掌握财务建模的基本原理和方法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·构建和分析财务模型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·运用财务模型进行财务预测、分析和决策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·提升财务分析和问题解决能力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核心课程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企业融资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·掌握企业融资的基本原理和流程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·理解并应用各种融资工具和策略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·进行企业估值和定价；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·制定有效的融资策略并管理相关风险；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·提高在融资实践中的问题解决能力和决策水平。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4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7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伦敦政治经济学院、大英博物馆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2024.7.20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小组研讨会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共同探讨问题、分享经验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加深对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核心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课程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与核心技能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内容的理解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·要求小组成员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主动参与和团队合作，通过集体智慧解决问题，提升学习效果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·准备和筹备小组任务中的内容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实地调研｜大英博物馆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·走进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世界上历史最悠久、规模最宏伟的综合性博物馆，</w:t>
            </w: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也是</w:t>
            </w: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全球四大最著名的博物馆之一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9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8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自由活动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2024.7.21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自由活动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自由活动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9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伦敦政治经济学院、金融区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2024.7.22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展示与汇报2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设计数字营销活动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小组针对前期所完成的任务进行，打造一款数字营销解决方案，对未来数字营销趋势的深刻洞察与创新实践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·以LinkedIn工具进行设计展示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·制作小组宣传视频进行展示与汇报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调研参访｜伦敦老金融区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·结合核心课程内容走进伦敦金融城进行调研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·感受这片历史悠久的街区，感受伦敦乃至全球金融业的心脏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2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D10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伦敦政治经济学院、金融区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2024.7.23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展示与汇报3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</w:rPr>
              <w:t xml:space="preserve"> | </w:t>
            </w: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反思性论文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针对前期所完成的反思性论文撰写任务进行展示汇报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·通过前期课程、辅导、撰写等体系化培训，养成批判性思维和创新精神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调研参访｜伦敦新金融区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·调研参访伦敦新金融区，与老金融区进行对比分析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·与伦敦金融城相比，新金融区在科技和创新方面更具优势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·伦敦新金融区还注重可持续发展和绿色环保</w:t>
            </w:r>
          </w:p>
        </w:tc>
        <w:tc>
          <w:tcPr>
            <w:tcW w:w="15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调研参访｜空中花园与英格兰银行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·感受空中花园的建筑设计巧妙地将自然与人文融为一体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·走进英格兰银行，了解其历史沿革、职能作用以及在全球金融体系中的重要地位</w:t>
            </w:r>
          </w:p>
        </w:tc>
        <w:tc>
          <w:tcPr>
            <w:tcW w:w="11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Hans"/>
              </w:rPr>
              <w:t>小组讨论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  <w:t>·分享学习到的知识与思考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  <w:t>·自由活动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1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D11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伦敦政治经济学院/飞行日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2024.7.24</w:t>
            </w:r>
          </w:p>
        </w:tc>
        <w:tc>
          <w:tcPr>
            <w:tcW w:w="1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Semibold" w:hAnsi="PingFang SC Semibold" w:eastAsia="PingFang SC Semibold" w:cs="PingFang SC Semibold"/>
                <w:b/>
                <w:bCs/>
                <w:sz w:val="16"/>
                <w:szCs w:val="16"/>
                <w:highlight w:val="none"/>
                <w:lang w:val="en-US" w:eastAsia="zh-CN"/>
              </w:rPr>
              <w:t>结业仪式</w:t>
            </w:r>
          </w:p>
        </w:tc>
        <w:tc>
          <w:tcPr>
            <w:tcW w:w="26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·收拾行李、退房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</w:pPr>
            <w:r>
              <w:rPr>
                <w:rFonts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前往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伦敦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机场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b w:val="0"/>
                <w:bCs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·搭乘飞机回国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D</w:t>
            </w:r>
            <w:r>
              <w:rPr>
                <w:rFonts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1</w:t>
            </w: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</w:pPr>
            <w:r>
              <w:rPr>
                <w:rFonts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eastAsia="zh-Hans"/>
              </w:rPr>
              <w:t>飞行日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Hans"/>
              </w:rPr>
            </w:pPr>
            <w:r>
              <w:rPr>
                <w:rFonts w:hint="eastAsia" w:ascii="PingFang SC Regular" w:hAnsi="PingFang SC Regular" w:eastAsia="PingFang SC Regular" w:cs="PingFang SC Regular"/>
                <w:b/>
                <w:bCs/>
                <w:sz w:val="16"/>
                <w:szCs w:val="16"/>
                <w:highlight w:val="none"/>
                <w:lang w:val="en-US" w:eastAsia="zh-CN"/>
              </w:rPr>
              <w:t>2024.7.25</w:t>
            </w:r>
          </w:p>
        </w:tc>
        <w:tc>
          <w:tcPr>
            <w:tcW w:w="439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eastAsia="zh-Hans"/>
              </w:rPr>
              <w:t>·</w:t>
            </w:r>
            <w:r>
              <w:rPr>
                <w:rFonts w:hint="eastAsia" w:ascii="pingfang sc" w:hAnsi="pingfang sc" w:eastAsia="pingfang sc" w:cs="pingfang sc"/>
                <w:sz w:val="16"/>
                <w:szCs w:val="16"/>
                <w:highlight w:val="none"/>
                <w:lang w:val="en-US" w:eastAsia="zh-CN"/>
              </w:rPr>
              <w:t>抵达中国</w:t>
            </w:r>
          </w:p>
        </w:tc>
      </w:tr>
    </w:tbl>
    <w:p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Hans"/>
        </w:rPr>
        <w:t>注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eastAsia="zh-Hans"/>
        </w:rPr>
        <w:t>：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Hans"/>
        </w:rPr>
        <w:t>本行程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CN"/>
        </w:rPr>
        <w:t>及授课内容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</w:rPr>
        <w:t>仅供参考，最终以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  <w:lang w:val="en-US" w:eastAsia="zh-CN"/>
        </w:rPr>
        <w:t>执行</w:t>
      </w:r>
      <w:r>
        <w:rPr>
          <w:rFonts w:hint="eastAsia" w:ascii="PingFang SC Semibold" w:hAnsi="PingFang SC Semibold" w:eastAsia="PingFang SC Semibold" w:cs="PingFang SC Semibold"/>
          <w:b/>
          <w:bCs w:val="0"/>
          <w:sz w:val="16"/>
          <w:szCs w:val="24"/>
          <w:highlight w:val="none"/>
        </w:rPr>
        <w:t>为准。</w:t>
      </w:r>
    </w:p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ingFang SC Regular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PingFang SC Semibold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Y2EwMjBhYzFiZmZkMDcxNzQ5OTM4YzRhMjMzZGEifQ=="/>
  </w:docVars>
  <w:rsids>
    <w:rsidRoot w:val="08650FDB"/>
    <w:rsid w:val="0865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2024-04-01T09:01:00Z</dcterms:created>
  <dc:creator>MEIYONG</dc:creator>
  <cp:lastModifiedBy>MEIYONG</cp:lastModifiedBy>
  <dcterms:modified xsi:type="dcterms:W3CDTF">2024-04-01T09:01:56Z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CB63AF03600F4CF6990F4AF36DA69DD0_11</vt:lpwstr>
  </property>
</Properties>
</file>