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A1" w:rsidRDefault="00BB1F52">
      <w:pPr>
        <w:pStyle w:val="a6"/>
        <w:spacing w:line="288" w:lineRule="auto"/>
        <w:rPr>
          <w:rFonts w:ascii="Adobe Caslon Pro Semibold" w:eastAsia="Adobe Caslon Pro Semibold" w:hAnsi="Adobe Caslon Pro Semibold" w:cs="Adobe Caslon Pro Semibold" w:hint="default"/>
          <w:sz w:val="36"/>
          <w:szCs w:val="36"/>
        </w:rPr>
      </w:pPr>
      <w:r>
        <w:rPr>
          <w:rFonts w:eastAsia="Adobe Caslon Pro Semibold"/>
          <w:sz w:val="36"/>
          <w:szCs w:val="36"/>
        </w:rPr>
        <w:t>新加坡管理大学财务管理项目（主办方：睿拓）</w:t>
      </w: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本课程由睿拓环球主办。</w:t>
      </w: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  <w:lang w:val="de-DE"/>
        </w:rPr>
      </w:pPr>
      <w:r>
        <w:rPr>
          <w:rFonts w:eastAsia="Adobe Caslon Pro"/>
        </w:rPr>
        <w:t>项目网址：</w:t>
      </w:r>
      <w:hyperlink r:id="rId6" w:history="1">
        <w:r>
          <w:rPr>
            <w:rStyle w:val="Hyperlink0"/>
          </w:rPr>
          <w:t>http://www.rtglobal.cn/xiangmu/xinjiapo/?203.html</w:t>
        </w:r>
      </w:hyperlink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  <w:sz w:val="26"/>
          <w:szCs w:val="26"/>
        </w:rPr>
      </w:pPr>
      <w:r>
        <w:rPr>
          <w:rFonts w:eastAsia="Adobe Caslon Pro"/>
          <w:sz w:val="26"/>
          <w:szCs w:val="26"/>
        </w:rPr>
        <w:t>新加坡管理大学财务管理项目简介</w:t>
      </w: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时间：</w:t>
      </w:r>
      <w:r>
        <w:rPr>
          <w:rFonts w:ascii="Adobe Caslon Pro"/>
        </w:rPr>
        <w:t>2016</w:t>
      </w:r>
      <w:r>
        <w:rPr>
          <w:rFonts w:eastAsia="Adobe Caslon Pro"/>
        </w:rPr>
        <w:t>年</w:t>
      </w:r>
      <w:r>
        <w:rPr>
          <w:rFonts w:ascii="Adobe Caslon Pro"/>
        </w:rPr>
        <w:t>08</w:t>
      </w:r>
      <w:r>
        <w:rPr>
          <w:rFonts w:eastAsia="Adobe Caslon Pro"/>
        </w:rPr>
        <w:t>月</w:t>
      </w:r>
      <w:r>
        <w:rPr>
          <w:rFonts w:ascii="Adobe Caslon Pro"/>
        </w:rPr>
        <w:t>14</w:t>
      </w:r>
      <w:r>
        <w:rPr>
          <w:rFonts w:eastAsia="Adobe Caslon Pro"/>
        </w:rPr>
        <w:t>日</w:t>
      </w:r>
      <w:r>
        <w:rPr>
          <w:rFonts w:ascii="Adobe Caslon Pro"/>
        </w:rPr>
        <w:t>-2016</w:t>
      </w:r>
      <w:r>
        <w:rPr>
          <w:rFonts w:eastAsia="Adobe Caslon Pro"/>
        </w:rPr>
        <w:t>年</w:t>
      </w:r>
      <w:r>
        <w:rPr>
          <w:rFonts w:ascii="Adobe Caslon Pro"/>
        </w:rPr>
        <w:t>08</w:t>
      </w:r>
      <w:r>
        <w:rPr>
          <w:rFonts w:eastAsia="Adobe Caslon Pro"/>
        </w:rPr>
        <w:t>月</w:t>
      </w:r>
      <w:r>
        <w:rPr>
          <w:rFonts w:ascii="Adobe Caslon Pro"/>
        </w:rPr>
        <w:t>20</w:t>
      </w:r>
      <w:r>
        <w:rPr>
          <w:rFonts w:eastAsia="Adobe Caslon Pro"/>
        </w:rPr>
        <w:t>日</w:t>
      </w: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项目地点：新加坡</w:t>
      </w:r>
    </w:p>
    <w:p w:rsidR="00815EA1" w:rsidRDefault="00815EA1">
      <w:pPr>
        <w:pStyle w:val="a6"/>
        <w:spacing w:line="288" w:lineRule="auto"/>
        <w:jc w:val="both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a6"/>
        <w:spacing w:line="288" w:lineRule="auto"/>
        <w:jc w:val="both"/>
        <w:rPr>
          <w:rFonts w:ascii="Adobe Caslon Pro" w:eastAsia="Adobe Caslon Pro" w:hAnsi="Adobe Caslon Pro" w:cs="Adobe Caslon Pro" w:hint="default"/>
          <w:color w:val="323232"/>
        </w:rPr>
      </w:pPr>
      <w:r>
        <w:rPr>
          <w:rFonts w:eastAsia="Adobe Caslon Pro"/>
          <w:color w:val="323232"/>
        </w:rPr>
        <w:t xml:space="preserve">      </w:t>
      </w:r>
      <w:r>
        <w:rPr>
          <w:rFonts w:eastAsia="Adobe Caslon Pro"/>
          <w:color w:val="323232"/>
        </w:rPr>
        <w:t>新加坡管理大学</w:t>
      </w:r>
      <w:r>
        <w:rPr>
          <w:rFonts w:eastAsia="Adobe Caslon Pro"/>
          <w:color w:val="323232"/>
        </w:rPr>
        <w:t xml:space="preserve"> </w:t>
      </w:r>
      <w:hyperlink r:id="rId7" w:history="1">
        <w:r>
          <w:rPr>
            <w:rStyle w:val="Hyperlink1"/>
          </w:rPr>
          <w:t>www.smu.edu.sg</w:t>
        </w:r>
      </w:hyperlink>
      <w:r>
        <w:rPr>
          <w:rFonts w:eastAsia="Adobe Caslon Pro"/>
          <w:color w:val="323232"/>
        </w:rPr>
        <w:t xml:space="preserve"> </w:t>
      </w:r>
      <w:r>
        <w:rPr>
          <w:rFonts w:eastAsia="Adobe Caslon Pro"/>
          <w:color w:val="323232"/>
        </w:rPr>
        <w:t>财务管理项目学员将接受全球顶级会计学院和全球</w:t>
      </w:r>
      <w:r>
        <w:rPr>
          <w:rFonts w:ascii="Adobe Caslon Pro"/>
          <w:color w:val="323232"/>
        </w:rPr>
        <w:t>500</w:t>
      </w:r>
      <w:r>
        <w:rPr>
          <w:rFonts w:eastAsia="Adobe Caslon Pro"/>
          <w:color w:val="323232"/>
        </w:rPr>
        <w:t>强高管财务方向课程，掌握第一手财务会计知识，了解国际财务的最新动态及海外离岸公司业务的会计处理。同时，项目将联合管理大学会计学院举办财务案例分析大赛，给予学员专业的点评及指导。项目学员将获得新加坡管理大学官方课程证书，优胜团队将获得比赛证书，优胜个人将获得教授亲笔签名的推荐信。</w:t>
      </w:r>
    </w:p>
    <w:p w:rsidR="00815EA1" w:rsidRDefault="00BB1F52">
      <w:pPr>
        <w:pStyle w:val="a6"/>
        <w:spacing w:line="288" w:lineRule="auto"/>
        <w:jc w:val="both"/>
        <w:rPr>
          <w:rFonts w:ascii="Adobe Caslon Pro" w:eastAsia="Adobe Caslon Pro" w:hAnsi="Adobe Caslon Pro" w:cs="Adobe Caslon Pro" w:hint="default"/>
          <w:color w:val="323232"/>
        </w:rPr>
      </w:pPr>
      <w:r>
        <w:rPr>
          <w:rFonts w:eastAsia="Adobe Caslon Pro"/>
          <w:color w:val="323232"/>
        </w:rPr>
        <w:t>该项目是国内少有的为财务、会计、</w:t>
      </w:r>
      <w:r>
        <w:rPr>
          <w:rFonts w:ascii="Adobe Caslon Pro"/>
          <w:color w:val="323232"/>
        </w:rPr>
        <w:t>ACCA</w:t>
      </w:r>
      <w:r>
        <w:rPr>
          <w:rFonts w:eastAsia="Adobe Caslon Pro"/>
          <w:color w:val="323232"/>
        </w:rPr>
        <w:t>、</w:t>
      </w:r>
      <w:r>
        <w:rPr>
          <w:rFonts w:ascii="Adobe Caslon Pro"/>
          <w:color w:val="323232"/>
        </w:rPr>
        <w:t>CGA</w:t>
      </w:r>
      <w:r>
        <w:rPr>
          <w:rFonts w:eastAsia="Adobe Caslon Pro"/>
          <w:color w:val="323232"/>
        </w:rPr>
        <w:t>专业的同学以及立志于从事会计行业</w:t>
      </w:r>
      <w:r>
        <w:rPr>
          <w:rFonts w:eastAsia="Adobe Caslon Pro"/>
          <w:color w:val="323232"/>
        </w:rPr>
        <w:t>的同学专门开设的海外交流项目，课程及案例分析为主线，行业体验及职业发展为辅线，为学员提供更优异的平台。</w:t>
      </w:r>
    </w:p>
    <w:p w:rsidR="00815EA1" w:rsidRDefault="00BB1F52">
      <w:pPr>
        <w:pStyle w:val="a6"/>
        <w:spacing w:line="288" w:lineRule="auto"/>
        <w:jc w:val="both"/>
        <w:rPr>
          <w:rFonts w:ascii="Adobe Caslon Pro Semibold" w:eastAsia="Adobe Caslon Pro Semibold" w:hAnsi="Adobe Caslon Pro Semibold" w:cs="Adobe Caslon Pro Semibold" w:hint="default"/>
          <w:color w:val="CE222B"/>
          <w:sz w:val="26"/>
          <w:szCs w:val="26"/>
        </w:rPr>
      </w:pPr>
      <w:r>
        <w:rPr>
          <w:rFonts w:eastAsia="Adobe Caslon Pro"/>
          <w:color w:val="323232"/>
        </w:rPr>
        <w:t xml:space="preserve">     </w:t>
      </w:r>
      <w:r>
        <w:rPr>
          <w:rFonts w:eastAsia="Adobe Caslon Pro"/>
          <w:color w:val="323232"/>
        </w:rPr>
        <w:t>新加坡管理大学的会计硕士专业学位，获得新加坡会计发展局、新加坡会计师协会、澳大利亚公共会计师协会（</w:t>
      </w:r>
      <w:r>
        <w:rPr>
          <w:rFonts w:ascii="Adobe Caslon Pro"/>
          <w:color w:val="323232"/>
        </w:rPr>
        <w:t>CPAAustralia</w:t>
      </w:r>
      <w:r>
        <w:rPr>
          <w:rFonts w:eastAsia="Adobe Caslon Pro"/>
          <w:color w:val="323232"/>
        </w:rPr>
        <w:t>）、英格兰及威尔士特许会计师协会（</w:t>
      </w:r>
      <w:r>
        <w:rPr>
          <w:rFonts w:ascii="Adobe Caslon Pro"/>
          <w:color w:val="323232"/>
        </w:rPr>
        <w:t>Institute Of CharteredAccountants In England and Wales</w:t>
      </w:r>
      <w:r>
        <w:rPr>
          <w:rFonts w:eastAsia="Adobe Caslon Pro"/>
          <w:color w:val="323232"/>
        </w:rPr>
        <w:t>）等</w:t>
      </w:r>
      <w:r>
        <w:rPr>
          <w:rFonts w:ascii="Adobe Caslon Pro"/>
          <w:color w:val="323232"/>
        </w:rPr>
        <w:t>8</w:t>
      </w:r>
      <w:r>
        <w:rPr>
          <w:rFonts w:eastAsia="Adobe Caslon Pro"/>
          <w:color w:val="323232"/>
        </w:rPr>
        <w:t>个区域和全球会计专业机构认可，是新加坡最受认可的会计硕士课程。新加坡管理大学已经成为一所世界一流的商业管理大学，在</w:t>
      </w:r>
      <w:r>
        <w:rPr>
          <w:rFonts w:ascii="Adobe Caslon Pro"/>
          <w:color w:val="323232"/>
        </w:rPr>
        <w:t>UTD</w:t>
      </w:r>
      <w:r>
        <w:rPr>
          <w:rFonts w:eastAsia="Adobe Caslon Pro"/>
          <w:color w:val="323232"/>
        </w:rPr>
        <w:t>世界知名</w:t>
      </w:r>
      <w:r>
        <w:rPr>
          <w:rFonts w:eastAsia="Adobe Caslon Pro"/>
          <w:color w:val="323232"/>
        </w:rPr>
        <w:t>商学院排名中，新加坡管理大学排名第</w:t>
      </w:r>
      <w:r>
        <w:rPr>
          <w:rFonts w:ascii="Adobe Caslon Pro"/>
          <w:color w:val="323232"/>
        </w:rPr>
        <w:t>54</w:t>
      </w:r>
      <w:r>
        <w:rPr>
          <w:rFonts w:eastAsia="Adobe Caslon Pro"/>
          <w:color w:val="323232"/>
        </w:rPr>
        <w:t>位。</w:t>
      </w:r>
      <w:r>
        <w:rPr>
          <w:rFonts w:eastAsia="Adobe Caslon Pro Semibold"/>
          <w:color w:val="CE222B"/>
          <w:sz w:val="26"/>
          <w:szCs w:val="26"/>
        </w:rPr>
        <w:t>其李光前商学院和经济学院在亚洲排名第三；会计专业在亚洲排名第一，全球排名第</w:t>
      </w:r>
      <w:r>
        <w:rPr>
          <w:rFonts w:ascii="Adobe Caslon Pro Semibold"/>
          <w:color w:val="CE222B"/>
          <w:sz w:val="26"/>
          <w:szCs w:val="26"/>
        </w:rPr>
        <w:t>10</w:t>
      </w:r>
      <w:r>
        <w:rPr>
          <w:rFonts w:eastAsia="Adobe Caslon Pro Semibold"/>
          <w:color w:val="CE222B"/>
          <w:sz w:val="26"/>
          <w:szCs w:val="26"/>
        </w:rPr>
        <w:t>；金融专业在亚洲排名第二，全球排名第</w:t>
      </w:r>
      <w:r>
        <w:rPr>
          <w:rFonts w:ascii="Adobe Caslon Pro Semibold"/>
          <w:color w:val="CE222B"/>
          <w:sz w:val="26"/>
          <w:szCs w:val="26"/>
        </w:rPr>
        <w:t>25</w:t>
      </w:r>
      <w:r>
        <w:rPr>
          <w:rFonts w:eastAsia="Adobe Caslon Pro Semibold"/>
          <w:color w:val="CE222B"/>
          <w:sz w:val="26"/>
          <w:szCs w:val="26"/>
        </w:rPr>
        <w:t>。</w:t>
      </w:r>
    </w:p>
    <w:p w:rsidR="00815EA1" w:rsidRDefault="00815EA1">
      <w:pPr>
        <w:pStyle w:val="a6"/>
        <w:spacing w:line="288" w:lineRule="auto"/>
        <w:jc w:val="both"/>
        <w:rPr>
          <w:rFonts w:ascii="Adobe Caslon Pro" w:eastAsia="Adobe Caslon Pro" w:hAnsi="Adobe Caslon Pro" w:cs="Adobe Caslon Pro" w:hint="default"/>
          <w:color w:val="323232"/>
        </w:rPr>
      </w:pPr>
    </w:p>
    <w:p w:rsidR="00815EA1" w:rsidRDefault="00815EA1">
      <w:pPr>
        <w:pStyle w:val="a6"/>
        <w:spacing w:line="288" w:lineRule="auto"/>
        <w:jc w:val="both"/>
        <w:rPr>
          <w:rFonts w:ascii="Adobe Caslon Pro" w:eastAsia="Adobe Caslon Pro" w:hAnsi="Adobe Caslon Pro" w:cs="Adobe Caslon Pro" w:hint="default"/>
          <w:color w:val="323232"/>
        </w:rPr>
      </w:pPr>
    </w:p>
    <w:p w:rsidR="00815EA1" w:rsidRDefault="00BB1F52">
      <w:pPr>
        <w:pStyle w:val="a6"/>
        <w:spacing w:line="288" w:lineRule="auto"/>
        <w:jc w:val="both"/>
        <w:rPr>
          <w:rFonts w:ascii="Adobe Caslon Pro" w:eastAsia="Adobe Caslon Pro" w:hAnsi="Adobe Caslon Pro" w:cs="Adobe Caslon Pro" w:hint="default"/>
          <w:color w:val="CE222B"/>
          <w:sz w:val="26"/>
          <w:szCs w:val="26"/>
        </w:rPr>
      </w:pPr>
      <w:r>
        <w:rPr>
          <w:rFonts w:ascii="Adobe Caslon Pro"/>
          <w:color w:val="323232"/>
          <w:sz w:val="26"/>
          <w:szCs w:val="26"/>
        </w:rPr>
        <w:t xml:space="preserve">       </w:t>
      </w:r>
      <w:r>
        <w:rPr>
          <w:rFonts w:eastAsia="Adobe Caslon Pro"/>
          <w:color w:val="CE222B"/>
          <w:sz w:val="26"/>
          <w:szCs w:val="26"/>
        </w:rPr>
        <w:t>财务管理案例大赛</w:t>
      </w:r>
    </w:p>
    <w:p w:rsidR="00815EA1" w:rsidRDefault="00BB1F52">
      <w:pPr>
        <w:pStyle w:val="a6"/>
        <w:spacing w:line="288" w:lineRule="auto"/>
        <w:jc w:val="both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 xml:space="preserve">     </w:t>
      </w:r>
      <w:r>
        <w:rPr>
          <w:rFonts w:eastAsia="Adobe Caslon Pro"/>
        </w:rPr>
        <w:t>新加坡</w:t>
      </w:r>
      <w:r>
        <w:rPr>
          <w:rFonts w:eastAsia="Adobe Caslon Pro"/>
          <w:color w:val="323232"/>
        </w:rPr>
        <w:t>财务管理项目所举办该财务管理案例大赛，旨在让学员更灵活高效运用学习到的财务知识，将理论和实际有效结合，增强自身财务素养。每一支团队都需要在专业导师的指导下完成一份案例分析，并在企业高管组成的评审团前展示自己的比赛成果，获胜团队将获得比赛证书。</w:t>
      </w:r>
    </w:p>
    <w:p w:rsidR="00815EA1" w:rsidRDefault="00815EA1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  <w:u w:color="000000"/>
        </w:rPr>
      </w:pPr>
    </w:p>
    <w:p w:rsidR="00815EA1" w:rsidRDefault="00BB1F52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  <w:u w:color="000000"/>
        </w:rPr>
      </w:pPr>
      <w:r>
        <w:rPr>
          <w:rFonts w:eastAsia="Adobe Caslon Pro" w:hint="eastAsia"/>
          <w:b w:val="0"/>
          <w:bCs w:val="0"/>
          <w:color w:val="000000"/>
          <w:sz w:val="26"/>
          <w:szCs w:val="26"/>
          <w:u w:color="000000"/>
          <w:lang w:val="zh-TW" w:eastAsia="zh-TW"/>
        </w:rPr>
        <w:t>三、项目收获：</w:t>
      </w:r>
    </w:p>
    <w:p w:rsidR="00815EA1" w:rsidRDefault="00815EA1">
      <w:pPr>
        <w:pStyle w:val="a6"/>
        <w:spacing w:line="288" w:lineRule="auto"/>
        <w:jc w:val="both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6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/>
          <w:kern w:val="0"/>
        </w:rPr>
        <w:t>1</w:t>
      </w:r>
      <w:r>
        <w:rPr>
          <w:rFonts w:ascii="微软雅黑" w:eastAsia="微软雅黑" w:hAnsi="微软雅黑" w:cs="微软雅黑"/>
          <w:kern w:val="0"/>
          <w:lang w:val="zh-TW" w:eastAsia="zh-TW"/>
        </w:rPr>
        <w:t>、全球顶级会计学院课程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lang w:val="zh-TW" w:eastAsia="zh-TW"/>
        </w:rPr>
        <w:t>新加坡管理大学会计学院全球排名第二，师从一流教授，课程设置让学员掌握第一手会计知识，为海外留学及职业发展奠定基础。项目结合会计学院实务案例授课，充分体验海外一流商科院校的教学方式，融入课堂氛围。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微软雅黑" w:eastAsia="微软雅黑" w:hAnsi="微软雅黑" w:cs="微软雅黑"/>
          <w:color w:val="333333"/>
          <w:sz w:val="18"/>
          <w:szCs w:val="18"/>
          <w:u w:color="333333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  <w:u w:color="333333"/>
        </w:rPr>
        <w:t> </w:t>
      </w:r>
    </w:p>
    <w:p w:rsidR="00815EA1" w:rsidRDefault="00BB1F52">
      <w:pPr>
        <w:pStyle w:val="6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/>
          <w:kern w:val="0"/>
        </w:rPr>
        <w:t>2</w:t>
      </w:r>
      <w:r>
        <w:rPr>
          <w:rFonts w:ascii="微软雅黑" w:eastAsia="微软雅黑" w:hAnsi="微软雅黑" w:cs="微软雅黑"/>
          <w:kern w:val="0"/>
          <w:lang w:val="zh-TW" w:eastAsia="zh-TW"/>
        </w:rPr>
        <w:t>、世界</w:t>
      </w:r>
      <w:r>
        <w:rPr>
          <w:rFonts w:ascii="微软雅黑" w:eastAsia="微软雅黑" w:hAnsi="微软雅黑" w:cs="微软雅黑"/>
          <w:kern w:val="0"/>
        </w:rPr>
        <w:t>500</w:t>
      </w:r>
      <w:r>
        <w:rPr>
          <w:rFonts w:ascii="微软雅黑" w:eastAsia="微软雅黑" w:hAnsi="微软雅黑" w:cs="微软雅黑"/>
          <w:kern w:val="0"/>
          <w:lang w:val="zh-TW" w:eastAsia="zh-TW"/>
        </w:rPr>
        <w:t>强企业高管财务课程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lang w:val="zh-TW" w:eastAsia="zh-TW"/>
        </w:rPr>
        <w:t>项目将邀请世界</w:t>
      </w:r>
      <w:r>
        <w:rPr>
          <w:rFonts w:ascii="微软雅黑" w:eastAsia="微软雅黑" w:hAnsi="微软雅黑" w:cs="微软雅黑"/>
          <w:sz w:val="21"/>
          <w:szCs w:val="21"/>
        </w:rPr>
        <w:t>500</w:t>
      </w:r>
      <w:r>
        <w:rPr>
          <w:rFonts w:ascii="微软雅黑" w:eastAsia="微软雅黑" w:hAnsi="微软雅黑" w:cs="微软雅黑"/>
          <w:sz w:val="21"/>
          <w:szCs w:val="21"/>
          <w:lang w:val="zh-TW" w:eastAsia="zh-TW"/>
        </w:rPr>
        <w:t>强高管提供离岸财税方向课程，从实务角度聆听业务资讯，了解会计行业。往期合作企业高管来自新加坡大华银行、新加坡华侨银行等，让学员充分体验金融行业财务运作、了解人才需求。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微软雅黑" w:eastAsia="微软雅黑" w:hAnsi="微软雅黑" w:cs="微软雅黑"/>
          <w:color w:val="333333"/>
          <w:sz w:val="18"/>
          <w:szCs w:val="18"/>
          <w:u w:color="333333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  <w:u w:color="333333"/>
        </w:rPr>
        <w:t> </w:t>
      </w:r>
    </w:p>
    <w:p w:rsidR="00815EA1" w:rsidRDefault="00BB1F52">
      <w:pPr>
        <w:pStyle w:val="6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/>
          <w:kern w:val="0"/>
        </w:rPr>
        <w:t>3</w:t>
      </w:r>
      <w:r>
        <w:rPr>
          <w:rFonts w:ascii="微软雅黑" w:eastAsia="微软雅黑" w:hAnsi="微软雅黑" w:cs="微软雅黑"/>
          <w:kern w:val="0"/>
          <w:lang w:val="zh-TW" w:eastAsia="zh-TW"/>
        </w:rPr>
        <w:t>、财务管理案例大赛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lang w:val="zh-TW" w:eastAsia="zh-TW"/>
        </w:rPr>
        <w:t>项目全程围绕比赛，旨在让学员更灵活高效运用学习到的国际财务知识，</w:t>
      </w:r>
      <w:r>
        <w:rPr>
          <w:rFonts w:ascii="微软雅黑" w:eastAsia="微软雅黑" w:hAnsi="微软雅黑" w:cs="微软雅黑"/>
          <w:sz w:val="21"/>
          <w:szCs w:val="21"/>
          <w:lang w:val="zh-TW" w:eastAsia="zh-TW"/>
        </w:rPr>
        <w:t>将国内和国外、理论和实际有效结合，增强自身财务素养。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微软雅黑" w:eastAsia="微软雅黑" w:hAnsi="微软雅黑" w:cs="微软雅黑"/>
          <w:color w:val="333333"/>
          <w:sz w:val="18"/>
          <w:szCs w:val="18"/>
          <w:u w:color="333333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  <w:u w:color="333333"/>
        </w:rPr>
        <w:t> </w:t>
      </w:r>
    </w:p>
    <w:p w:rsidR="00815EA1" w:rsidRDefault="00BB1F52">
      <w:pPr>
        <w:pStyle w:val="6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/>
          <w:kern w:val="0"/>
        </w:rPr>
        <w:t>4</w:t>
      </w:r>
      <w:r>
        <w:rPr>
          <w:rFonts w:ascii="微软雅黑" w:eastAsia="微软雅黑" w:hAnsi="微软雅黑" w:cs="微软雅黑"/>
          <w:kern w:val="0"/>
          <w:lang w:val="zh-TW" w:eastAsia="zh-TW"/>
        </w:rPr>
        <w:t>、证书与推荐信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lang w:val="zh-TW" w:eastAsia="zh-TW"/>
        </w:rPr>
        <w:t>项目学员将获得新加坡管理大学官方课程证书，同时比赛优胜团队将获得优胜组证书，表现突出学员将获得会计学院教授亲笔签发的推荐信，为求职和深造提升竞争力。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微软雅黑" w:eastAsia="微软雅黑" w:hAnsi="微软雅黑" w:cs="微软雅黑"/>
          <w:color w:val="333333"/>
          <w:sz w:val="18"/>
          <w:szCs w:val="18"/>
          <w:u w:color="333333"/>
        </w:rPr>
      </w:pPr>
      <w:r>
        <w:rPr>
          <w:rFonts w:ascii="微软雅黑" w:eastAsia="微软雅黑" w:hAnsi="微软雅黑" w:cs="微软雅黑"/>
          <w:color w:val="333333"/>
          <w:sz w:val="18"/>
          <w:szCs w:val="18"/>
          <w:u w:color="333333"/>
        </w:rPr>
        <w:t> </w:t>
      </w:r>
    </w:p>
    <w:p w:rsidR="00815EA1" w:rsidRDefault="00BB1F52">
      <w:pPr>
        <w:pStyle w:val="6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/>
          <w:kern w:val="0"/>
        </w:rPr>
        <w:t>5</w:t>
      </w:r>
      <w:r>
        <w:rPr>
          <w:rFonts w:ascii="微软雅黑" w:eastAsia="微软雅黑" w:hAnsi="微软雅黑" w:cs="微软雅黑"/>
          <w:kern w:val="0"/>
          <w:lang w:val="zh-TW" w:eastAsia="zh-TW"/>
        </w:rPr>
        <w:t>、职业规划指导</w:t>
      </w:r>
    </w:p>
    <w:p w:rsidR="00815EA1" w:rsidRDefault="00BB1F52">
      <w:pPr>
        <w:pStyle w:val="a8"/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0" w:line="450" w:lineRule="atLeast"/>
        <w:jc w:val="both"/>
        <w:rPr>
          <w:rFonts w:ascii="Adobe Caslon Pro" w:eastAsia="Adobe Caslon Pro" w:hAnsi="Adobe Caslon Pro" w:cs="Adobe Caslon Pro"/>
        </w:rPr>
      </w:pPr>
      <w:r>
        <w:rPr>
          <w:rFonts w:ascii="微软雅黑" w:eastAsia="微软雅黑" w:hAnsi="微软雅黑" w:cs="微软雅黑"/>
          <w:sz w:val="21"/>
          <w:szCs w:val="21"/>
          <w:lang w:val="zh-TW" w:eastAsia="zh-TW"/>
        </w:rPr>
        <w:t>项目导师将根据自身的经历，结合行业、岗位、前景等因素给予学员职业规划指导，让学员在踏入社会前收获更多有价值的讯息。</w:t>
      </w: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补充说明</w:t>
      </w: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项目费用：</w:t>
      </w: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申请费：</w:t>
      </w:r>
      <w:r>
        <w:rPr>
          <w:rFonts w:ascii="Adobe Caslon Pro"/>
        </w:rPr>
        <w:t>1000</w:t>
      </w: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项目费：</w:t>
      </w:r>
      <w:r>
        <w:rPr>
          <w:rFonts w:ascii="Adobe Caslon Pro"/>
        </w:rPr>
        <w:t>5250</w:t>
      </w:r>
    </w:p>
    <w:p w:rsidR="00815EA1" w:rsidRDefault="00BB1F52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课程期间的个人饮食、住宿、护照签证</w:t>
      </w:r>
      <w:r w:rsidR="00E91FE2">
        <w:rPr>
          <w:rFonts w:asciiTheme="minorEastAsia" w:eastAsiaTheme="minorEastAsia" w:hAnsiTheme="minorEastAsia"/>
          <w:lang w:eastAsia="zh-CN"/>
        </w:rPr>
        <w:t>、往返机票</w:t>
      </w:r>
      <w:bookmarkStart w:id="0" w:name="_GoBack"/>
      <w:bookmarkEnd w:id="0"/>
      <w:r>
        <w:rPr>
          <w:rFonts w:eastAsia="Adobe Caslon Pro"/>
        </w:rPr>
        <w:t>等花费自理，</w:t>
      </w:r>
      <w:r>
        <w:rPr>
          <w:rFonts w:eastAsia="Adobe Caslon Pro Semibold"/>
          <w:color w:val="CE222B"/>
          <w:u w:color="CE222B"/>
        </w:rPr>
        <w:t>凡参加该项目同学，均可以参与睿拓旗下其他海外交流项目减免</w:t>
      </w:r>
      <w:r>
        <w:rPr>
          <w:rFonts w:ascii="Adobe Caslon Pro Semibold"/>
          <w:color w:val="CE222B"/>
          <w:u w:color="CE222B"/>
        </w:rPr>
        <w:t>1000</w:t>
      </w:r>
      <w:r>
        <w:rPr>
          <w:rFonts w:eastAsia="Adobe Caslon Pro Semibold"/>
          <w:color w:val="CE222B"/>
          <w:u w:color="CE222B"/>
        </w:rPr>
        <w:t>的学员奖学金。</w:t>
      </w:r>
    </w:p>
    <w:p w:rsidR="00815EA1" w:rsidRDefault="00815EA1">
      <w:pPr>
        <w:pStyle w:val="a6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815EA1" w:rsidRDefault="00BB1F52">
      <w:pPr>
        <w:pStyle w:val="A0"/>
        <w:spacing w:before="240" w:line="288" w:lineRule="auto"/>
        <w:rPr>
          <w:rFonts w:ascii="Adobe Caslon Pro" w:eastAsia="Adobe Caslon Pro" w:hAnsi="Adobe Caslon Pro" w:cs="Adobe Caslon Pro"/>
          <w:color w:val="54136B"/>
          <w:u w:color="54136B"/>
        </w:rPr>
      </w:pPr>
      <w:r>
        <w:rPr>
          <w:rFonts w:eastAsia="Adobe Caslon Pro" w:hint="eastAsia"/>
          <w:color w:val="54136B"/>
          <w:u w:color="54136B"/>
        </w:rPr>
        <w:t>项目咨询：对外经济贸易大学华德公寓</w:t>
      </w:r>
      <w:r>
        <w:rPr>
          <w:rFonts w:ascii="Adobe Caslon Pro"/>
          <w:color w:val="54136B"/>
          <w:u w:color="54136B"/>
        </w:rPr>
        <w:t>1</w:t>
      </w:r>
      <w:r>
        <w:rPr>
          <w:rFonts w:eastAsia="Adobe Caslon Pro" w:hint="eastAsia"/>
          <w:color w:val="54136B"/>
          <w:u w:color="54136B"/>
        </w:rPr>
        <w:t>段</w:t>
      </w:r>
      <w:r>
        <w:rPr>
          <w:rFonts w:ascii="Adobe Caslon Pro"/>
          <w:color w:val="54136B"/>
          <w:u w:color="54136B"/>
        </w:rPr>
        <w:t>1002</w:t>
      </w:r>
    </w:p>
    <w:p w:rsidR="00815EA1" w:rsidRDefault="00BB1F52">
      <w:pPr>
        <w:pStyle w:val="A0"/>
        <w:spacing w:before="240" w:line="288" w:lineRule="auto"/>
        <w:rPr>
          <w:rFonts w:ascii="Adobe Caslon Pro Semibold" w:eastAsia="Adobe Caslon Pro Semibold" w:hAnsi="Adobe Caslon Pro Semibold" w:cs="Adobe Caslon Pro Semibold"/>
          <w:color w:val="54136B"/>
          <w:u w:color="54136B"/>
        </w:rPr>
      </w:pPr>
      <w:r>
        <w:rPr>
          <w:rFonts w:eastAsia="Adobe Caslon Pro Semibold" w:hint="eastAsia"/>
          <w:color w:val="54136B"/>
          <w:u w:color="54136B"/>
        </w:rPr>
        <w:t>项目申请：</w:t>
      </w:r>
      <w:hyperlink r:id="rId8" w:history="1">
        <w:r>
          <w:rPr>
            <w:rStyle w:val="Hyperlink2"/>
          </w:rPr>
          <w:t>http://www.rtglobal.cn/Apply/login.asp</w:t>
        </w:r>
      </w:hyperlink>
    </w:p>
    <w:p w:rsidR="00815EA1" w:rsidRDefault="00BB1F52">
      <w:pPr>
        <w:pStyle w:val="A0"/>
        <w:spacing w:before="240" w:line="288" w:lineRule="auto"/>
        <w:rPr>
          <w:rFonts w:ascii="Adobe Caslon Pro" w:eastAsia="Adobe Caslon Pro" w:hAnsi="Adobe Caslon Pro" w:cs="Adobe Caslon Pro"/>
          <w:color w:val="54136B"/>
          <w:u w:color="54136B"/>
        </w:rPr>
      </w:pPr>
      <w:r>
        <w:rPr>
          <w:rFonts w:eastAsia="Adobe Caslon Pro" w:hint="eastAsia"/>
          <w:color w:val="54136B"/>
          <w:u w:color="54136B"/>
        </w:rPr>
        <w:t>咨询电话：</w:t>
      </w:r>
      <w:r>
        <w:rPr>
          <w:rFonts w:ascii="Adobe Caslon Pro"/>
          <w:color w:val="54136B"/>
          <w:u w:color="54136B"/>
        </w:rPr>
        <w:t>400-0160-820</w:t>
      </w:r>
    </w:p>
    <w:p w:rsidR="00815EA1" w:rsidRDefault="00BB1F52">
      <w:pPr>
        <w:pStyle w:val="A0"/>
        <w:spacing w:before="240" w:line="288" w:lineRule="auto"/>
      </w:pPr>
      <w:r>
        <w:rPr>
          <w:rFonts w:eastAsia="Adobe Caslon Pro" w:hint="eastAsia"/>
          <w:color w:val="54136B"/>
          <w:u w:color="54136B"/>
        </w:rPr>
        <w:t>咨询邮箱：</w:t>
      </w:r>
      <w:r>
        <w:rPr>
          <w:rFonts w:ascii="Adobe Caslon Pro"/>
          <w:color w:val="54136B"/>
          <w:u w:color="54136B"/>
        </w:rPr>
        <w:t>info@rtglobal.cn</w:t>
      </w:r>
    </w:p>
    <w:sectPr w:rsidR="00815EA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52" w:rsidRDefault="00BB1F52">
      <w:r>
        <w:separator/>
      </w:r>
    </w:p>
  </w:endnote>
  <w:endnote w:type="continuationSeparator" w:id="0">
    <w:p w:rsidR="00BB1F52" w:rsidRDefault="00BB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Semibold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A1" w:rsidRDefault="00815E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52" w:rsidRDefault="00BB1F52">
      <w:r>
        <w:separator/>
      </w:r>
    </w:p>
  </w:footnote>
  <w:footnote w:type="continuationSeparator" w:id="0">
    <w:p w:rsidR="00BB1F52" w:rsidRDefault="00BB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A1" w:rsidRDefault="00815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A1"/>
    <w:rsid w:val="00815EA1"/>
    <w:rsid w:val="00816BEE"/>
    <w:rsid w:val="00BB1F52"/>
    <w:rsid w:val="00E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F5B41-9B0B-4969-8451-5CE71FA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6">
    <w:name w:val="heading 6"/>
    <w:next w:val="A0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eastAsia="Cambria" w:hAnsi="Cambria" w:cs="Cambria"/>
      <w:b/>
      <w:bCs/>
      <w:color w:val="000000"/>
      <w:kern w:val="2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6">
    <w:name w:val="默认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rFonts w:ascii="Adobe Caslon Pro" w:eastAsia="Adobe Caslon Pro" w:hAnsi="Adobe Caslon Pro" w:cs="Adobe Caslon Pro"/>
      <w:sz w:val="22"/>
      <w:szCs w:val="22"/>
      <w:u w:val="single"/>
      <w:lang w:val="zh-TW" w:eastAsia="zh-TW"/>
    </w:rPr>
  </w:style>
  <w:style w:type="character" w:customStyle="1" w:styleId="Hyperlink1">
    <w:name w:val="Hyperlink.1"/>
    <w:basedOn w:val="a7"/>
    <w:rPr>
      <w:rFonts w:ascii="Adobe Caslon Pro" w:eastAsia="Adobe Caslon Pro" w:hAnsi="Adobe Caslon Pro" w:cs="Adobe Caslon Pro"/>
      <w:color w:val="323232"/>
      <w:sz w:val="22"/>
      <w:szCs w:val="22"/>
      <w:u w:val="single" w:color="000000"/>
      <w:lang w:val="en-US"/>
    </w:rPr>
  </w:style>
  <w:style w:type="paragraph" w:customStyle="1" w:styleId="4">
    <w:name w:val="表格样式 4"/>
    <w:rPr>
      <w:rFonts w:ascii="Helvetica" w:eastAsia="Helvetica" w:hAnsi="Helvetica" w:cs="Helvetica"/>
      <w:b/>
      <w:bCs/>
      <w:color w:val="489BC9"/>
      <w:u w:color="489BC9"/>
    </w:rPr>
  </w:style>
  <w:style w:type="paragraph" w:customStyle="1" w:styleId="A0">
    <w:name w:val="正文 A"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8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Hyperlink2">
    <w:name w:val="Hyperlink.2"/>
    <w:basedOn w:val="a7"/>
    <w:rPr>
      <w:rFonts w:ascii="Adobe Caslon Pro Semibold" w:eastAsia="Adobe Caslon Pro Semibold" w:hAnsi="Adobe Caslon Pro Semibold" w:cs="Adobe Caslon Pro Semibold"/>
      <w:b/>
      <w:bCs/>
      <w:color w:val="54136B"/>
      <w:sz w:val="22"/>
      <w:szCs w:val="22"/>
      <w:u w:val="single" w:color="54136B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global.cn/Apply/login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u.edu.s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global.cn/xiangmu/xinjiapo/?203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ruituo-momo</cp:lastModifiedBy>
  <cp:revision>3</cp:revision>
  <dcterms:created xsi:type="dcterms:W3CDTF">2016-03-17T11:52:00Z</dcterms:created>
  <dcterms:modified xsi:type="dcterms:W3CDTF">2016-03-17T12:21:00Z</dcterms:modified>
</cp:coreProperties>
</file>